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68EB" w14:textId="00E2381A" w:rsidR="00CA75FF" w:rsidRPr="007833A5" w:rsidRDefault="00E427AA" w:rsidP="007833A5">
      <w:pPr>
        <w:jc w:val="right"/>
        <w:rPr>
          <w:b/>
          <w:color w:val="000000"/>
          <w:sz w:val="36"/>
        </w:rPr>
      </w:pPr>
      <w:r>
        <w:rPr>
          <w:b/>
          <w:noProof/>
          <w:color w:val="000000"/>
          <w:sz w:val="36"/>
        </w:rPr>
        <w:drawing>
          <wp:anchor distT="0" distB="0" distL="114300" distR="114300" simplePos="0" relativeHeight="251658240" behindDoc="0" locked="0" layoutInCell="1" allowOverlap="1" wp14:anchorId="56377A4A" wp14:editId="3669E256">
            <wp:simplePos x="914400" y="723900"/>
            <wp:positionH relativeFrom="page">
              <wp:align>center</wp:align>
            </wp:positionH>
            <wp:positionV relativeFrom="paragraph">
              <wp:posOffset>0</wp:posOffset>
            </wp:positionV>
            <wp:extent cx="2743200" cy="1115568"/>
            <wp:effectExtent l="0" t="0" r="0" b="8890"/>
            <wp:wrapTopAndBottom/>
            <wp:docPr id="58134129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41290"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43200" cy="1115568"/>
                    </a:xfrm>
                    <a:prstGeom prst="rect">
                      <a:avLst/>
                    </a:prstGeom>
                  </pic:spPr>
                </pic:pic>
              </a:graphicData>
            </a:graphic>
            <wp14:sizeRelH relativeFrom="margin">
              <wp14:pctWidth>0</wp14:pctWidth>
            </wp14:sizeRelH>
            <wp14:sizeRelV relativeFrom="margin">
              <wp14:pctHeight>0</wp14:pctHeight>
            </wp14:sizeRelV>
          </wp:anchor>
        </w:drawing>
      </w: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77777777"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Pr="00E82683">
        <w:rPr>
          <w:rFonts w:ascii="Arial" w:hAnsi="Arial" w:cs="Arial"/>
          <w:sz w:val="22"/>
          <w:highlight w:val="yellow"/>
          <w:lang w:val="vi-VN"/>
        </w:rPr>
        <w:t>[Insert your State]</w:t>
      </w:r>
      <w:r w:rsidRPr="00E82683">
        <w:rPr>
          <w:rFonts w:ascii="Arial" w:hAnsi="Arial" w:cs="Arial"/>
          <w:sz w:val="22"/>
          <w:lang w:val="vi-VN"/>
        </w:rPr>
        <w:t xml:space="preserve"> 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w:t>
      </w:r>
      <w:r w:rsidRPr="00E82683">
        <w:rPr>
          <w:color w:val="000000"/>
          <w:lang w:val="vi-VN"/>
        </w:rPr>
        <w:lastRenderedPageBreak/>
        <w:t xml:space="preserve">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 xml:space="preserve">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w:t>
      </w:r>
      <w:r w:rsidRPr="00E82683">
        <w:rPr>
          <w:lang w:val="vi-VN"/>
        </w:rPr>
        <w:lastRenderedPageBreak/>
        <w:t>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lastRenderedPageBreak/>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w:t>
      </w:r>
      <w:r w:rsidRPr="00E82683">
        <w:rPr>
          <w:sz w:val="22"/>
          <w:lang w:val="vi-VN"/>
        </w:rPr>
        <w:lastRenderedPageBreak/>
        <w:t>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lastRenderedPageBreak/>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09DE" w14:textId="77777777" w:rsidR="001B33BA" w:rsidRDefault="001B33BA">
      <w:r>
        <w:separator/>
      </w:r>
    </w:p>
  </w:endnote>
  <w:endnote w:type="continuationSeparator" w:id="0">
    <w:p w14:paraId="097B45F4" w14:textId="77777777" w:rsidR="001B33BA" w:rsidRDefault="001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752B" w14:textId="77777777" w:rsidR="001B33BA" w:rsidRDefault="001B33BA">
      <w:r>
        <w:separator/>
      </w:r>
    </w:p>
  </w:footnote>
  <w:footnote w:type="continuationSeparator" w:id="0">
    <w:p w14:paraId="7999B252" w14:textId="77777777" w:rsidR="001B33BA" w:rsidRDefault="001B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3A5"/>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756D0"/>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B48CD"/>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27AA"/>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EE923B19F6C408D00943966C6E05B" ma:contentTypeVersion="8" ma:contentTypeDescription="Create a new document." ma:contentTypeScope="" ma:versionID="0a24523d41553ca98b51d4f83f0fde95">
  <xsd:schema xmlns:xsd="http://www.w3.org/2001/XMLSchema" xmlns:xs="http://www.w3.org/2001/XMLSchema" xmlns:p="http://schemas.microsoft.com/office/2006/metadata/properties" xmlns:ns2="25f65ed5-5f51-46a1-9e17-c2cd9978f795" targetNamespace="http://schemas.microsoft.com/office/2006/metadata/properties" ma:root="true" ma:fieldsID="eeae4929601937871e5b7e9ad4bb8e24" ns2:_="">
    <xsd:import namespace="25f65ed5-5f51-46a1-9e17-c2cd9978f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5ed5-5f51-46a1-9e17-c2cd9978f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7FB61-2B91-4E3D-8ED0-1DB1D845A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5ed5-5f51-46a1-9e17-c2cd9978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9b7df76-1233-4cad-b601-2d69d56106aa"/>
    <ds:schemaRef ds:uri="78d78a83-35a3-4975-a198-41168912ec23"/>
  </ds:schemaRefs>
</ds:datastoreItem>
</file>

<file path=customXml/itemProps3.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5673</Words>
  <Characters>19959</Characters>
  <Application>Microsoft Office Word</Application>
  <DocSecurity>0</DocSecurity>
  <PresentationFormat/>
  <Lines>166</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25581</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2025-04-02T14:27:00Z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0x010100321EE923B19F6C408D00943966C6E05B</vt:lpwstr>
  </property>
  <property fmtid="{D5CDD505-2E9C-101B-9397-08002B2CF9AE}" pid="7" name="_dlc_DocIdItemGuid">
    <vt:lpwstr>8542dcc6-34ad-4d43-bece-469a2e081816</vt:lpwstr>
  </property>
  <property fmtid="{D5CDD505-2E9C-101B-9397-08002B2CF9AE}" pid="8" name="MediaServiceImageTags">
    <vt:lpwstr/>
  </property>
</Properties>
</file>